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Усть-Калманского района</w:t>
            </w:r>
            <w:r w:rsidR="0074511A">
              <w:rPr>
                <w:b/>
                <w:bCs/>
                <w:sz w:val="28"/>
                <w:szCs w:val="28"/>
              </w:rPr>
              <w:t>в</w:t>
            </w:r>
            <w:r>
              <w:rPr>
                <w:b/>
                <w:bCs/>
                <w:sz w:val="28"/>
                <w:szCs w:val="28"/>
                <w:lang w:val="en-US"/>
              </w:rPr>
              <w:t>2024</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Промышленность   района сосредоточена в двух основных отраслях: обрабатывающие производства и производство, распределение тепловой энергии, газа и воды. За 2024 год  отгружено товаров, выполнено работ и услуг с учетом деятельности малых предприятий  собственного производства  в фактических ценах на 1,6 млрд. руб. или 95% к уровню прошлого года. В  тоже время развитие этой отрасли экономики определяется еще и индексом промышленного производства, который в этом году также снизился  и составил 83,6%. За  отчетный период  наблюдается снижение в  производстве   сыра   86,4%, масла сливочного 81%, муки  61%, крупы  56,2%) и  увеличение  кондитерских изделий ( 110%).  Численность работающих составила 408 чел. Среднемесячная заработная плата в отрасли за 2024 год сложилась в сумме 58306 руб. или 119,5%.</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954C8F" w:rsidP="001F1010">
      <w:pPr>
        <w:spacing w:line="276" w:lineRule="auto"/>
        <w:jc w:val="both"/>
        <w:divId w:val="1450320109"/>
      </w:pPr>
      <w:r w:rsidRPr="008E0719">
        <w:t xml:space="preserve"> По  итогам 2024 года собрано 133,0 тыс. тонн (79,3)  зерновых и зернобобовых, 168 % к уровню прошлого года, технических культур 22,7 тыс. тонн (141%).Урожайность зерновых составила 20,8  ц/га (151%),  подсолнечника – 18,2 ц/га. (141 %).Поголовье  крупного рогатого скота во всех категориях хозяйств на начало 2025 года составило  9,2 тыс. гол. (10,0)  (92% к уровню прошлого года), поголовье коров 4,1 тыс.гол. (88,8% к уровню прошлого года). За прошедший сельскохозяйственный год хозяйства района произвели  17,2 тыс. тонн молока (97,2% к уровню прошлого года). Продуктивность дойного стада составила 5396 кг. на 1 фуражную корову, это на 381 кг  ниже, чем в 2023 году.Произведено на убой скота в живом весе 2,7 тыс. тонн (193% к уровню прошлого года). Кормообеспеченность на одну условную голову  составила 33,4  центнеров кормовых единиц на  условную голову и это выше плана  на 10% (30,2 ц/к.ед.)  Количество пчелосемей во всех категориях хозяйств насчитывает 5,1 тыс. семей (53% к уровню прошлого года)  Производство меда составило 40 тонн (44% к уровню прошлого года).За 2024 год приобретено 4 единицы техники и 42 единицы оборудования сумма инвестиций составила 297,5 млн. рублей.Аграрной  отрасли района  из средств федерального и краевого бюджетов оказана государственная финансовая поддержка в  области растениеводства и животноводства в размере 16,8 млн. руб. Это оказало существенную помощь сельскохозяйственной отрасли. По итогам года предприятиями получено прибыли 315,8 млн. руб., что на 103 млн. руб. больше уровня прошлого годаВ   отрасли трудится 492 человека. Средний уровень заработной платы в 2024 году составил 55626 руб.(112,2%).Промышленность   района сосредоточена в двух основных отраслях: обрабатывающие производства и </w:t>
      </w:r>
      <w:r w:rsidRPr="008E0719">
        <w:lastRenderedPageBreak/>
        <w:t>производство, распределение тепловой энергии, газа и воды. За 2024 год  отгружено товаров, выполнено работ и услуг с учетом деятельности малых предприятий  собственного производства  в фактических ценах на 1,6 млрд. руб. или 95% к уровню прошлого года. В  тоже время развитие этой отрасли экономики определяется еще и индексом промышленного производства, который в этом году также снизился  и составил 83,6%. За  отчетный период  наблюдается снижение в  производстве   сыра   86,4%, масла сливочного 81%, муки  61%, крупы  56,2%) и  увеличение  кондитерских изделий ( 110%).  Численность работающих составила 408 чел. Среднемесячная заработная плата в отрасли за 2024 год сложилась в сумме 58306 руб. или 119,5%.</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В 2024 году жители пяти сел приняли участие в проекте поддержки местных инициатив. Ремонт дома культуры в с.Огни, благоустройство места отдыха и площади в с. Усть-Калманка  монтаж уличного освещения в п. Новый Чарыш и благоустройство кладбища в с. Чарышское   общий объем финансирования – 8,8 млн.  руб. Работа будет продолжена  и в 2025 году . Краевым министерством поддержано 7 проектов: Благоустройство  Мемориала и пешеходной зоны в с. Усть-Калманка, в с. Новобураново –монтаж  уличного освещения, в с. Михайловка ремонт спортивного зала, в с. Огни ремонт фасада Дома культуры, в с. Новокалманка благоустройство мест отдыха, в с. Чарышское –ремонт кладбища.На территории района ведется строительство жилья. В результате построено 5 жилых домов, введено в эксплуатацию 1190 квадратных метров жилья.  В течении 2024 года на территории района реализовывались внебюджетные инвестиционные проекты по следующим направлениям: - модернизация, реконструкция и техническое перевооружение сельскохозяйственной отрасли (строительство зерносклада в ООО «Бурановское», Арочный склад  -ООО «Огневское», склад с мастерскими и административное здание –КФХ Новицкая Е.В.); -промышленное производство (реконструкция хлебопекарни и.п. Жидких М.В.;- коммунальная инфраструктура две автомойки, (и.п. Покалякин  А.В., Жидких М. В.); рынок товаров  и услуг; (строительство магазина промышленных товаров в с. Усть-Калманка ул. Горького,71б  и.п. Растороцкая  М.В) Сумма инвестиций в основной капитал составила, более 380 тыс.руб. или 109%  темп роста к прошлому году.</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 xml:space="preserve">На 01.01.2025 г. в районе зарегистрировано 246 субъектов малого  и среднего предпринимательства, за текущий год вновь образовавшихся индивидуальных предпринимателей 38.(35) Общая численность занятых в сфере малого и среднего предпринимательства 1113 человек (1113), 520 самозанятых граждан. (444) В рамках информационного сопровождения, в течение 2024 года специалистами Администрации района было предоставлено 86 информационно-консультационных услуг.   Инфраструктура розничной торговли района в 2024 году немного сократилась и составила 126 магазинов.  Изменение экономической ситуации потребительского </w:t>
      </w:r>
      <w:r w:rsidRPr="001F1010">
        <w:lastRenderedPageBreak/>
        <w:t>сектора заставило торговый бизнес перестроить логистику. На смену закрывшимся магазинам открылись пункты выдачи популярных интернет -заказов «Валдберис», «Ozon», СДЭК не только в райцентре но и по селам района -17 единиц.(3). В результате предприятиям торговли удалось обеспечить прирост товарооборота на 36%. В сфере общественного питания набирает популярность услуга доставка  еды. (Пиццерия и магазин Кулинария Райпо).</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954C8F" w:rsidP="001F1010">
      <w:pPr>
        <w:spacing w:line="276" w:lineRule="auto"/>
        <w:jc w:val="both"/>
        <w:divId w:val="1356543834"/>
      </w:pPr>
      <w:r w:rsidRPr="008E0719">
        <w:t> Ситуация на  рынке труда в ушедшем году складывалась следующим образом: численность занятых в экономике  района в отчетном периоде существенно не изменилась 3800 человек, за содействием в поиске подходящей работы обратилось 353 человека, из которых было трудоустроено184 или 52%  от числа обратившихся. (несоответствие спроса и предложения на локальном рынке труда) На учете  в качестве безработных граждан по состоянию на начало текущего года числится 113 человек. Уровень регистрируемой безработицы к общему количеству граждан в трудоспособном возрасте составил 2,1%. Направлены на профессиональное обучение  по востребованным профессиям 13 безработных. Все завершившие обучение граждане были трудоустроены на постоянные рабочие места. (кочегар, учитель русского языка, специалист по социальной работе, кладовщик). Государственную услугу по содействию началу осуществления предпринимательской деятельности безработных получили 11 человек. На временные работы трудоустроено 84 гражданина,79 из которых являются несовершеннолетними</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Сохраняется положительная динамика показателей, характеризующих уровень жизни населения. По итогам 2024 года среднемесячная заработная плата одного работника по крупным и средним организациям составила 47018 руб. или 116% к уровню 2023 года. Средняя заработная плата одного работника увеличилась по всем отраслям экономики в сравнении с 2023 годом. Наибольший рост наблюдается по следующим отраслям: обрабатывающие производства на 119%, строительство на 123%, сельское хозяйство, -112%.  Среднемесячные денежные доходы жителей выросли на 105% к 2023 году, в расчете на душу населения составили 21976 рублей. Основным источником доходов граждан является бюджетная составляющая - социальные выплаты, заработная плата и доходы от личного подсобного хозяйства. Жителям района доступны 94 социальные выплаты. Совокупные расходы на социальные выплаты и услуги для жителей района составили 82,8 млн. руб.  Ощутимой мерой социальной поддержки для граждан являются ежемесячные компенсации и субсидии по оплате жилищно-коммунальных услуг. На эти цели направлено 23 млн. руб. На постоянной основе оказывается поддержка участников ВОВ и «детям войны». Гражданам этих категорий предоставляются все полагающие меры поддержки, оказывается адресная помощь.  Не менее  важным для нас является работа по улучшению качества жизни населения. Одним из действенных механизмов- это заключение социальных контрактов. Его цель- помочь нуждающимся гражданам перейти на самообеспечение. Этой возможностью воспользовались 160 человек заключив контракты на общую сумму  7,7 млн. руб </w:t>
      </w:r>
    </w:p>
    <w:p w:rsidR="0074511A" w:rsidRDefault="0074511A" w:rsidP="008E0719">
      <w:pPr>
        <w:spacing w:before="240" w:after="240" w:line="276" w:lineRule="auto"/>
        <w:jc w:val="center"/>
        <w:divId w:val="1437944105"/>
      </w:pPr>
      <w:r>
        <w:rPr>
          <w:rStyle w:val="a3"/>
          <w:sz w:val="28"/>
          <w:szCs w:val="28"/>
        </w:rPr>
        <w:lastRenderedPageBreak/>
        <w:t xml:space="preserve">Состояние местных бюджетов </w:t>
      </w:r>
    </w:p>
    <w:p w:rsidR="0074511A" w:rsidRPr="008E0719" w:rsidRDefault="00954C8F" w:rsidP="001F1010">
      <w:pPr>
        <w:spacing w:line="276" w:lineRule="auto"/>
        <w:jc w:val="both"/>
        <w:divId w:val="1437944105"/>
      </w:pPr>
      <w:r w:rsidRPr="008E0719">
        <w:t>           Развитие нашего района, во многом определяет основной финансовый документ - бюджет муниципального образования. Основным показателем финансовой устойчивости бюджета на протяжении многих лет является отсутствие просроченной задолженности по текущим обязательствам и долговых обязательств. Сумма доходов, поступившая в 2024 году в консолидированный бюджет составила  623,0 млн. рублей или 116,5%.Из них объем привлеченных средств  в район из краевого бюджета составил 455 млн. руб., больше прошлого года на 17% или на 67 млн. руб.       Расходная часть бюджета за 2024 год исполнена  в сумме 667,4 млн. рублей. В полном объеме были профинансированы первоочередные расходы, связанные с выплатой заработной платы, расходы на питание детей в общеобразовательных и дошкольных учреждениях, оплата учреждениями коммунальных услуг. Основная составляющая бюджетных расходов приходится на социальную сферу - 364 млн. рублей  или 57,8% от общего объема расходов. Наибольший удельный вес в расходах занимает образование 49,2 %. или 309,6 млн.рублей.       Основным показателем распоряжения муниципальным имуществом является доход получаемой от его использования. За 2024 год в бюджет района поступило денежных средств от аренды муниципального имущества и земельных участков и продажи трех земельных участков 14,5 млн. руб.  это  на 1,9 млн.рублей больше уровня прошлого года. Во исполнение поручения Президента РФ о предоставлении на безвозмездной основе земельных участков гражданам, имеющих трех и более (несовершеннолетних) детей, в 2024 году предоставлен бесплатно один земельный участок для индивидуального жилищного строительства в с. Усть-Калманка 1500 кв.м.</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0442FC" w:rsidRDefault="001F1010" w:rsidP="001F1010">
      <w:pPr>
        <w:spacing w:line="276" w:lineRule="auto"/>
        <w:jc w:val="both"/>
        <w:divId w:val="1904366202"/>
      </w:pPr>
      <w:r w:rsidRPr="000442FC">
        <w:t xml:space="preserve">Постоянного внимания и максимальной ответственности требует от местной власти исполнение полномочий, связанных с созданием </w:t>
      </w:r>
      <w:r>
        <w:rPr>
          <w:lang w:val="en-US"/>
        </w:rPr>
        <w:t> </w:t>
      </w:r>
      <w:r w:rsidRPr="000442FC">
        <w:t>условий для предоставления качественных услуг населению в области жилищно-коммунального хозяйства.</w:t>
      </w:r>
      <w:r>
        <w:rPr>
          <w:lang w:val="en-US"/>
        </w:rPr>
        <w:t> </w:t>
      </w:r>
      <w:r w:rsidRPr="000442FC">
        <w:t xml:space="preserve"> С учетом климатических условий эта одна из самых сложных сфер.</w:t>
      </w:r>
      <w:r>
        <w:rPr>
          <w:lang w:val="en-US"/>
        </w:rPr>
        <w:t>  </w:t>
      </w:r>
      <w:r w:rsidRPr="000442FC">
        <w:t xml:space="preserve"> При подготовке к отопительному периоду проведены основные мероприятия по</w:t>
      </w:r>
      <w:r>
        <w:rPr>
          <w:lang w:val="en-US"/>
        </w:rPr>
        <w:t> </w:t>
      </w:r>
      <w:r w:rsidRPr="000442FC">
        <w:t xml:space="preserve"> замене</w:t>
      </w:r>
      <w:r>
        <w:rPr>
          <w:lang w:val="en-US"/>
        </w:rPr>
        <w:t>  </w:t>
      </w:r>
      <w:r w:rsidRPr="000442FC">
        <w:t xml:space="preserve"> котельного оборудования. </w:t>
      </w:r>
      <w:r>
        <w:rPr>
          <w:lang w:val="en-US"/>
        </w:rPr>
        <w:t> </w:t>
      </w:r>
      <w:r w:rsidRPr="000442FC">
        <w:t xml:space="preserve">Технически перевооружили котельные дымососами, насосами, </w:t>
      </w:r>
      <w:r>
        <w:rPr>
          <w:lang w:val="en-US"/>
        </w:rPr>
        <w:t> </w:t>
      </w:r>
      <w:r w:rsidRPr="000442FC">
        <w:t>дымовыми трубами, приобретено 6 котлов и установлена топка. В с. Чарышское модернизирована котельная сельского клуба. На эти цели направленно из краевого и местного бюджетов 10,5 млн. руб. Заключены договора на ремонт фасада в четырех котельных на 4,5 млн. руб., работы будут завершены в текущем году. Кроме того были проведены аукционы</w:t>
      </w:r>
      <w:r>
        <w:rPr>
          <w:lang w:val="en-US"/>
        </w:rPr>
        <w:t> </w:t>
      </w:r>
      <w:r w:rsidRPr="000442FC">
        <w:t xml:space="preserve"> и закуплен уголь на 11 млн. 906 тыс. руб.</w:t>
      </w:r>
      <w:r>
        <w:rPr>
          <w:lang w:val="en-US"/>
        </w:rPr>
        <w:t> </w:t>
      </w:r>
      <w:r w:rsidRPr="000442FC">
        <w:t>Для обеспечения полномочий по водоснабжению и водоотведению</w:t>
      </w:r>
      <w:r>
        <w:rPr>
          <w:lang w:val="en-US"/>
        </w:rPr>
        <w:t> </w:t>
      </w:r>
      <w:r w:rsidRPr="000442FC">
        <w:t xml:space="preserve"> в 2024 году осуществлён капитальный ремонт скважины в п.Западный</w:t>
      </w:r>
      <w:r>
        <w:rPr>
          <w:lang w:val="en-US"/>
        </w:rPr>
        <w:t> </w:t>
      </w:r>
      <w:r w:rsidRPr="000442FC">
        <w:t xml:space="preserve"> стоимостью 3,4</w:t>
      </w:r>
      <w:r>
        <w:rPr>
          <w:lang w:val="en-US"/>
        </w:rPr>
        <w:t> </w:t>
      </w:r>
      <w:r w:rsidRPr="000442FC">
        <w:t xml:space="preserve"> млн.руб. Установлен павильон с комплектом оборудования на водозаборе с.Чарышское стоимостью- 499 тыс.рублей. </w:t>
      </w:r>
      <w:r>
        <w:rPr>
          <w:lang w:val="en-US"/>
        </w:rPr>
        <w:t> </w:t>
      </w:r>
      <w:r w:rsidRPr="000442FC">
        <w:t>Стоит особо отметить проделанную, в короткие сроки, работу по приведению полей фильтрации в нормативное состояние. Проведена разработка документации и осуществлено строительство полей фильтрации Усть-Калманского района – стоимость 10,8 млн. руб.</w:t>
      </w:r>
      <w:r>
        <w:rPr>
          <w:lang w:val="en-US"/>
        </w:rPr>
        <w:t>   </w:t>
      </w:r>
      <w:r w:rsidRPr="000442FC">
        <w:t xml:space="preserve"> В рамках </w:t>
      </w:r>
      <w:r>
        <w:rPr>
          <w:lang w:val="en-US"/>
        </w:rPr>
        <w:t> </w:t>
      </w:r>
      <w:r w:rsidRPr="000442FC">
        <w:t>заключенного контракта</w:t>
      </w:r>
      <w:r>
        <w:rPr>
          <w:lang w:val="en-US"/>
        </w:rPr>
        <w:t> </w:t>
      </w:r>
      <w:r w:rsidRPr="000442FC">
        <w:t xml:space="preserve"> по реконструкции</w:t>
      </w:r>
      <w:r>
        <w:rPr>
          <w:lang w:val="en-US"/>
        </w:rPr>
        <w:t> </w:t>
      </w:r>
      <w:r w:rsidRPr="000442FC">
        <w:t xml:space="preserve"> системы водоснабжения с. Огни в</w:t>
      </w:r>
      <w:r>
        <w:rPr>
          <w:lang w:val="en-US"/>
        </w:rPr>
        <w:t> </w:t>
      </w:r>
      <w:r w:rsidRPr="000442FC">
        <w:t xml:space="preserve"> прошедшем году </w:t>
      </w:r>
      <w:r>
        <w:rPr>
          <w:lang w:val="en-US"/>
        </w:rPr>
        <w:t>  </w:t>
      </w:r>
      <w:r w:rsidRPr="000442FC">
        <w:t xml:space="preserve">проложено 9,5 </w:t>
      </w:r>
      <w:r w:rsidRPr="000442FC">
        <w:lastRenderedPageBreak/>
        <w:t xml:space="preserve">км, профинансировано 108 млн.руб. </w:t>
      </w:r>
      <w:r>
        <w:rPr>
          <w:lang w:val="en-US"/>
        </w:rPr>
        <w:t> </w:t>
      </w:r>
      <w:r w:rsidRPr="000442FC">
        <w:t>в настоящее время работы продолжаются.</w:t>
      </w:r>
      <w:r>
        <w:rPr>
          <w:lang w:val="en-US"/>
        </w:rPr>
        <w:t> </w:t>
      </w:r>
      <w:r w:rsidRPr="000442FC">
        <w:t xml:space="preserve"> Велась разработка сметной </w:t>
      </w:r>
      <w:r>
        <w:rPr>
          <w:lang w:val="en-US"/>
        </w:rPr>
        <w:t> </w:t>
      </w:r>
      <w:r w:rsidRPr="000442FC">
        <w:t xml:space="preserve">документации по кап. ремонту водопровода в </w:t>
      </w:r>
      <w:r>
        <w:rPr>
          <w:lang w:val="en-US"/>
        </w:rPr>
        <w:t> </w:t>
      </w:r>
      <w:r w:rsidRPr="000442FC">
        <w:t>с.Кабаново</w:t>
      </w:r>
      <w:r>
        <w:rPr>
          <w:lang w:val="en-US"/>
        </w:rPr>
        <w:t> </w:t>
      </w:r>
      <w:r w:rsidRPr="000442FC">
        <w:t xml:space="preserve"> и</w:t>
      </w:r>
      <w:r>
        <w:rPr>
          <w:lang w:val="en-US"/>
        </w:rPr>
        <w:t>  </w:t>
      </w:r>
      <w:r w:rsidRPr="000442FC">
        <w:t xml:space="preserve"> </w:t>
      </w:r>
      <w:r>
        <w:rPr>
          <w:lang w:val="en-US"/>
        </w:rPr>
        <w:t>  </w:t>
      </w:r>
      <w:r w:rsidRPr="000442FC">
        <w:t xml:space="preserve">скважин </w:t>
      </w:r>
      <w:r>
        <w:rPr>
          <w:lang w:val="en-US"/>
        </w:rPr>
        <w:t> </w:t>
      </w:r>
      <w:r w:rsidRPr="000442FC">
        <w:t xml:space="preserve">в с.Усть-Калманка, Усть-Камышенка-500 тыс. руб. </w:t>
      </w:r>
      <w:r>
        <w:rPr>
          <w:lang w:val="en-US"/>
        </w:rPr>
        <w:t> </w:t>
      </w:r>
      <w:r w:rsidRPr="000442FC">
        <w:t>Правительством Алтайского края оказана поддержка муниципальным образованиям по закупке техники, в рамках которой району передан экскаватор.</w:t>
      </w:r>
      <w:r w:rsidR="000442FC">
        <w:t xml:space="preserve"> </w:t>
      </w:r>
      <w:r w:rsidRPr="000442FC">
        <w:t>Продолжается работа по реализации мусорной реформы. В отчетном году оборудовано 35</w:t>
      </w:r>
      <w:r>
        <w:rPr>
          <w:lang w:val="en-US"/>
        </w:rPr>
        <w:t>  </w:t>
      </w:r>
      <w:r w:rsidRPr="000442FC">
        <w:t xml:space="preserve"> площадок</w:t>
      </w:r>
      <w:r>
        <w:rPr>
          <w:lang w:val="en-US"/>
        </w:rPr>
        <w:t> </w:t>
      </w:r>
      <w:r w:rsidRPr="000442FC">
        <w:t xml:space="preserve"> накопления ТКО в с. Усть-Калманка -1,2 млн. руб.</w:t>
      </w:r>
      <w:r>
        <w:rPr>
          <w:lang w:val="en-US"/>
        </w:rPr>
        <w:t> </w:t>
      </w:r>
      <w:r w:rsidRPr="000442FC">
        <w:t>В 2024 году муниципальный дорожный фонд</w:t>
      </w:r>
      <w:r>
        <w:rPr>
          <w:lang w:val="en-US"/>
        </w:rPr>
        <w:t> </w:t>
      </w:r>
      <w:r w:rsidRPr="000442FC">
        <w:t xml:space="preserve"> составил 6,4 млн.руб. В целях приведения автомобильных дорог общего пользования</w:t>
      </w:r>
      <w:r>
        <w:rPr>
          <w:lang w:val="en-US"/>
        </w:rPr>
        <w:t> </w:t>
      </w:r>
      <w:r w:rsidRPr="000442FC">
        <w:t xml:space="preserve"> в нормативное состояние</w:t>
      </w:r>
      <w:r>
        <w:rPr>
          <w:lang w:val="en-US"/>
        </w:rPr>
        <w:t> </w:t>
      </w:r>
      <w:r w:rsidRPr="000442FC">
        <w:t xml:space="preserve"> направлено на ремонт 4,9 млн.руб. на содержание 1,5 тыс.руб.За счет средств краевой субсидии и районного бюджета</w:t>
      </w:r>
      <w:r>
        <w:rPr>
          <w:lang w:val="en-US"/>
        </w:rPr>
        <w:t> </w:t>
      </w:r>
      <w:r w:rsidRPr="000442FC">
        <w:t xml:space="preserve"> удалось отремонтировать дорожное полотно по ул. Ленина районного центра- 19,5 млн. руб.</w:t>
      </w:r>
      <w:r>
        <w:rPr>
          <w:lang w:val="en-US"/>
        </w:rPr>
        <w:t> </w:t>
      </w:r>
      <w:r w:rsidRPr="000442FC">
        <w:t>В целом отчетный год</w:t>
      </w:r>
      <w:r>
        <w:rPr>
          <w:lang w:val="en-US"/>
        </w:rPr>
        <w:t> </w:t>
      </w:r>
      <w:r w:rsidRPr="000442FC">
        <w:t xml:space="preserve"> коммунальной отрасли оказался нерентабельным. Не удалось решить проблему неплатежей за потребленные коммунальные услуги, хотя в течение года велась претензионная работа. На начало года задолженность населения составила - 4,5 млн. руб. В суд направлено 47 исков на 1 млн.руб. взыскано -600 тыс.руб.</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0442FC" w:rsidRDefault="001F1010" w:rsidP="00564A2F">
      <w:pPr>
        <w:spacing w:line="276" w:lineRule="auto"/>
        <w:jc w:val="both"/>
        <w:divId w:val="1972859180"/>
      </w:pPr>
      <w:r w:rsidRPr="000442FC">
        <w:t>Социальная сфера</w:t>
      </w:r>
      <w:r>
        <w:rPr>
          <w:lang w:val="en-US"/>
        </w:rPr>
        <w:t> </w:t>
      </w:r>
      <w:r w:rsidRPr="000442FC">
        <w:t xml:space="preserve"> традиционно включает в </w:t>
      </w:r>
      <w:r>
        <w:rPr>
          <w:lang w:val="en-US"/>
        </w:rPr>
        <w:t> </w:t>
      </w:r>
      <w:r w:rsidRPr="000442FC">
        <w:t>себя: образование, здравоохранение, социальную защиту населения,</w:t>
      </w:r>
      <w:r>
        <w:rPr>
          <w:lang w:val="en-US"/>
        </w:rPr>
        <w:t> </w:t>
      </w:r>
      <w:r w:rsidRPr="000442FC">
        <w:t xml:space="preserve"> </w:t>
      </w:r>
      <w:r>
        <w:rPr>
          <w:lang w:val="en-US"/>
        </w:rPr>
        <w:t> </w:t>
      </w:r>
      <w:r w:rsidRPr="000442FC">
        <w:t>культуру и спорт</w:t>
      </w:r>
      <w:r w:rsidR="000442FC">
        <w:t xml:space="preserve"> </w:t>
      </w:r>
      <w:r w:rsidRPr="000442FC">
        <w:t>.Образование - это та отрасль, которая работает на будущее района, подготавливая кадры для наших предприятий и учреждений.</w:t>
      </w:r>
      <w:r>
        <w:rPr>
          <w:lang w:val="en-US"/>
        </w:rPr>
        <w:t> </w:t>
      </w:r>
      <w:r w:rsidRPr="000442FC">
        <w:t>По дошкольным образовательным программам обучаются 337 детей.</w:t>
      </w:r>
      <w:r>
        <w:rPr>
          <w:lang w:val="en-US"/>
        </w:rPr>
        <w:t> </w:t>
      </w:r>
      <w:r w:rsidRPr="000442FC">
        <w:t xml:space="preserve"> 100%</w:t>
      </w:r>
      <w:r>
        <w:rPr>
          <w:lang w:val="en-US"/>
        </w:rPr>
        <w:t> </w:t>
      </w:r>
      <w:r w:rsidRPr="000442FC">
        <w:t xml:space="preserve"> детей в возрасте от</w:t>
      </w:r>
      <w:r>
        <w:rPr>
          <w:lang w:val="en-US"/>
        </w:rPr>
        <w:t> </w:t>
      </w:r>
      <w:r w:rsidRPr="000442FC">
        <w:t xml:space="preserve"> 1,5 до</w:t>
      </w:r>
      <w:r>
        <w:rPr>
          <w:lang w:val="en-US"/>
        </w:rPr>
        <w:t> </w:t>
      </w:r>
      <w:r w:rsidRPr="000442FC">
        <w:t xml:space="preserve"> 7 лет, желающих получить дошкольное образование, обеспечены </w:t>
      </w:r>
      <w:r>
        <w:rPr>
          <w:lang w:val="en-US"/>
        </w:rPr>
        <w:t> </w:t>
      </w:r>
      <w:r w:rsidRPr="000442FC">
        <w:t>местами в детских садах. Услуги по реализации основных общеобразовательных программ</w:t>
      </w:r>
      <w:r>
        <w:rPr>
          <w:lang w:val="en-US"/>
        </w:rPr>
        <w:t> </w:t>
      </w:r>
      <w:r w:rsidRPr="000442FC">
        <w:t xml:space="preserve"> в 2024 году предоставлялись 1305 </w:t>
      </w:r>
      <w:r>
        <w:rPr>
          <w:lang w:val="en-US"/>
        </w:rPr>
        <w:t> </w:t>
      </w:r>
      <w:r w:rsidRPr="000442FC">
        <w:t>учащимся. Обеспечивается подвоз школьными автобусами в образовательные организации 100% учащихся, нуждающихся в подвозе. Более</w:t>
      </w:r>
      <w:r>
        <w:rPr>
          <w:lang w:val="en-US"/>
        </w:rPr>
        <w:t> </w:t>
      </w:r>
      <w:r w:rsidRPr="000442FC">
        <w:t xml:space="preserve"> 470 учащихся</w:t>
      </w:r>
      <w:r>
        <w:rPr>
          <w:lang w:val="en-US"/>
        </w:rPr>
        <w:t> </w:t>
      </w:r>
      <w:r w:rsidRPr="000442FC">
        <w:t xml:space="preserve"> начальных классов общеобразовательных организаций района обеспечены бесплатным горячим питанием.</w:t>
      </w:r>
      <w:r>
        <w:rPr>
          <w:lang w:val="en-US"/>
        </w:rPr>
        <w:t> </w:t>
      </w:r>
      <w:r w:rsidRPr="000442FC">
        <w:t>Одним из основных показателей качества обучения школьников являются итоги государственной итоговой аттестации.</w:t>
      </w:r>
      <w:r w:rsidR="000442FC">
        <w:t xml:space="preserve"> </w:t>
      </w:r>
      <w:r w:rsidRPr="000442FC">
        <w:t xml:space="preserve">ЕГЭ сдавали 56 выпускников. </w:t>
      </w:r>
      <w:r>
        <w:rPr>
          <w:lang w:val="en-US"/>
        </w:rPr>
        <w:t> </w:t>
      </w:r>
      <w:r w:rsidRPr="000442FC">
        <w:t>Нововведением этого года является возможность каждого выпускника пересдать один раз один предмет по своему выбору. Это инициатива президента Российской Федерации. После</w:t>
      </w:r>
      <w:r>
        <w:rPr>
          <w:lang w:val="en-US"/>
        </w:rPr>
        <w:t> </w:t>
      </w:r>
      <w:r w:rsidRPr="000442FC">
        <w:t xml:space="preserve"> пересдачи предыдущий результат аннулируется. Право пересдачи</w:t>
      </w:r>
      <w:r>
        <w:rPr>
          <w:lang w:val="en-US"/>
        </w:rPr>
        <w:t> </w:t>
      </w:r>
      <w:r w:rsidRPr="000442FC">
        <w:t xml:space="preserve"> ЕГЭ будет действовать и в следующие годы.</w:t>
      </w:r>
      <w:r w:rsidR="000442FC">
        <w:t xml:space="preserve"> </w:t>
      </w:r>
      <w:r w:rsidRPr="000442FC">
        <w:t>Система дополнительного образования представлена муниципальным бюджетным учреждением дополнительного образования «Центр детского творчества детей и молодежи». Охват дополнительным образованием составляет около 75% от всех детей района в возрасте от 5 до 18 лет</w:t>
      </w:r>
      <w:r w:rsidR="000442FC">
        <w:t xml:space="preserve">. </w:t>
      </w:r>
      <w:r w:rsidRPr="000442FC">
        <w:t>Важнейшей составляющей воспитания учащихся является организация летнего отдыха. Ежегодно в каникулярный период организована работа пришкольных профильных лагерей на базе образовательных организаций.</w:t>
      </w:r>
      <w:r>
        <w:rPr>
          <w:lang w:val="en-US"/>
        </w:rPr>
        <w:t>  </w:t>
      </w:r>
      <w:r w:rsidRPr="000442FC">
        <w:t xml:space="preserve"> Показатель охвата летним отдыхом составил 44%.</w:t>
      </w:r>
      <w:r>
        <w:rPr>
          <w:lang w:val="en-US"/>
        </w:rPr>
        <w:t> </w:t>
      </w:r>
      <w:r w:rsidRPr="000442FC">
        <w:t>Важным акцентом муниципальной системы образования является воспитательная функция. Программы воспитания внедрены во всех общеобразовательных организациях района, создана системная модель содействия профессиональному самоопределению обучающихся 6-11 классов «Россия мои горизонты», а также</w:t>
      </w:r>
      <w:r>
        <w:rPr>
          <w:lang w:val="en-US"/>
        </w:rPr>
        <w:t> </w:t>
      </w:r>
      <w:r w:rsidRPr="000442FC">
        <w:t xml:space="preserve"> реализуются программы развития социальной активности учащихся начальных классов </w:t>
      </w:r>
      <w:r w:rsidRPr="000442FC">
        <w:lastRenderedPageBreak/>
        <w:t>«Орлята России», объединяющие порядка 440 учащихся начальных классов. Дан старт деятельности Российского движения детей и молодежи «Движение</w:t>
      </w:r>
      <w:r>
        <w:rPr>
          <w:lang w:val="en-US"/>
        </w:rPr>
        <w:t> </w:t>
      </w:r>
      <w:r w:rsidRPr="000442FC">
        <w:t xml:space="preserve"> Первых». В районе</w:t>
      </w:r>
      <w:r>
        <w:rPr>
          <w:lang w:val="en-US"/>
        </w:rPr>
        <w:t> </w:t>
      </w:r>
      <w:r w:rsidRPr="000442FC">
        <w:t xml:space="preserve"> создано 9 первичных отделений Общероссийского общественно-государственного движения детей и молодежи «Движение первых», которые охватывают практически все интересы и потребности ребенка. Региональное отделение Всероссийского детско-юношеского военно-патриотического общественного движения</w:t>
      </w:r>
      <w:r>
        <w:rPr>
          <w:lang w:val="en-US"/>
        </w:rPr>
        <w:t> </w:t>
      </w:r>
      <w:r w:rsidRPr="000442FC">
        <w:t xml:space="preserve"> «ЮНАРМИЯ» включает 7 юнармейских отрядов.</w:t>
      </w:r>
      <w:r>
        <w:rPr>
          <w:lang w:val="en-US"/>
        </w:rPr>
        <w:t> </w:t>
      </w:r>
      <w:r w:rsidRPr="000442FC">
        <w:t>Проблема обеспечения безопасности здоровья и жизни работников, обучающихся, воспитанников образовательных организаций в настоящее время приобретают особо актуальное значение и становятся приоритетными как в государственной, так и в региональной политике в сфере образования</w:t>
      </w:r>
      <w:r w:rsidR="000442FC">
        <w:t xml:space="preserve">. </w:t>
      </w:r>
      <w:r w:rsidRPr="000442FC">
        <w:t>Во всех образовательных учреждениях</w:t>
      </w:r>
      <w:r>
        <w:rPr>
          <w:lang w:val="en-US"/>
        </w:rPr>
        <w:t> </w:t>
      </w:r>
      <w:r w:rsidRPr="000442FC">
        <w:t xml:space="preserve"> района, согласно требований к антитеррористической защищенности объектов (территорий)),</w:t>
      </w:r>
      <w:r>
        <w:rPr>
          <w:lang w:val="en-US"/>
        </w:rPr>
        <w:t> </w:t>
      </w:r>
      <w:r w:rsidRPr="000442FC">
        <w:t xml:space="preserve"> проведено категорирование объектов образования.</w:t>
      </w:r>
      <w:r w:rsidR="009972F0">
        <w:t xml:space="preserve"> </w:t>
      </w:r>
      <w:r w:rsidRPr="000442FC">
        <w:t>Из 19 объектов 5 учреждений относились к 3 категории, остальные 14 к 4 категории.</w:t>
      </w:r>
      <w:r w:rsidR="009972F0">
        <w:t xml:space="preserve"> </w:t>
      </w:r>
      <w:r w:rsidRPr="000442FC">
        <w:t>Для антитеррористической</w:t>
      </w:r>
      <w:r>
        <w:rPr>
          <w:lang w:val="en-US"/>
        </w:rPr>
        <w:t> </w:t>
      </w:r>
      <w:r w:rsidRPr="000442FC">
        <w:t xml:space="preserve"> защиты образовательных учреждений в 2024 году реализовывался план-график инженерно-технических мероприятий по обеспечению комплексной безопасности объектов образования.</w:t>
      </w:r>
      <w:r>
        <w:rPr>
          <w:lang w:val="en-US"/>
        </w:rPr>
        <w:t> </w:t>
      </w:r>
      <w:r w:rsidRPr="000442FC">
        <w:t>Отрасль образование насчитывает 211 педагогических и управленческих</w:t>
      </w:r>
      <w:r>
        <w:rPr>
          <w:lang w:val="en-US"/>
        </w:rPr>
        <w:t> </w:t>
      </w:r>
      <w:r w:rsidRPr="000442FC">
        <w:t xml:space="preserve"> работников, в том числе учителей 151 чел.</w:t>
      </w:r>
      <w:r>
        <w:rPr>
          <w:lang w:val="en-US"/>
        </w:rPr>
        <w:t> </w:t>
      </w:r>
      <w:r w:rsidRPr="000442FC">
        <w:t>Экономическое положение педагога, его заработная плата являются ключевым фактором социально-статусной позиции педагога и его удовлетворенности профессией. Среднемесячная заработная плата в отрасли составила 41600 руб. или 116,0%.к уровню прошлого года.</w:t>
      </w:r>
      <w:r>
        <w:rPr>
          <w:lang w:val="en-US"/>
        </w:rPr>
        <w:t> </w:t>
      </w:r>
      <w:r w:rsidRPr="000442FC">
        <w:t xml:space="preserve"> Вопросы оказания медицинской помощи населению являются актуальными для каждого из нас</w:t>
      </w:r>
      <w:r w:rsidR="00564A2F">
        <w:t>.</w:t>
      </w:r>
      <w:r w:rsidR="009972F0">
        <w:t xml:space="preserve"> </w:t>
      </w:r>
      <w:r w:rsidRPr="000442FC">
        <w:t xml:space="preserve">Система здравоохранения в районе представлена центральной районной больницей, </w:t>
      </w:r>
      <w:r>
        <w:rPr>
          <w:lang w:val="en-US"/>
        </w:rPr>
        <w:t> </w:t>
      </w:r>
      <w:r w:rsidRPr="000442FC">
        <w:t xml:space="preserve">пятью врачебными амбулаториями </w:t>
      </w:r>
      <w:r>
        <w:rPr>
          <w:lang w:val="en-US"/>
        </w:rPr>
        <w:t> </w:t>
      </w:r>
      <w:r w:rsidRPr="000442FC">
        <w:t>и 12 фельдшерско-акушерских пункта</w:t>
      </w:r>
      <w:r w:rsidR="00564A2F">
        <w:t xml:space="preserve">. </w:t>
      </w:r>
      <w:r w:rsidRPr="000442FC">
        <w:t xml:space="preserve">Стационар имеет 47 коек круглосуточного пребывания, пролечено 1527 больных (1383). План по профилактическим прививкам выполнен на 66%.Санитарно-эпидемиологическая обстановка в районе за год была благополучной. Скорой помощью обслужено почти три тысячи вызовов. </w:t>
      </w:r>
      <w:r>
        <w:rPr>
          <w:lang w:val="en-US"/>
        </w:rPr>
        <w:t> </w:t>
      </w:r>
      <w:r w:rsidRPr="000442FC">
        <w:t>В структуре заболеваемости населения лидирующие позиции занимают болезни системы кровообращения,</w:t>
      </w:r>
      <w:r>
        <w:rPr>
          <w:lang w:val="en-US"/>
        </w:rPr>
        <w:t> </w:t>
      </w:r>
      <w:r w:rsidRPr="000442FC">
        <w:t xml:space="preserve"> онкологические и заболевания желудочно-кишечного тракта. </w:t>
      </w:r>
      <w:r>
        <w:rPr>
          <w:lang w:val="en-US"/>
        </w:rPr>
        <w:t> </w:t>
      </w:r>
      <w:r w:rsidRPr="000442FC">
        <w:t xml:space="preserve">Вызывает опасения рост социально-обусловленных заболеваний </w:t>
      </w:r>
      <w:r>
        <w:rPr>
          <w:lang w:val="en-US"/>
        </w:rPr>
        <w:t> </w:t>
      </w:r>
      <w:r w:rsidRPr="000442FC">
        <w:t xml:space="preserve">таких, как </w:t>
      </w:r>
      <w:r>
        <w:rPr>
          <w:lang w:val="en-US"/>
        </w:rPr>
        <w:t> </w:t>
      </w:r>
      <w:r w:rsidRPr="000442FC">
        <w:t>туберкулез,</w:t>
      </w:r>
      <w:r>
        <w:rPr>
          <w:lang w:val="en-US"/>
        </w:rPr>
        <w:t> </w:t>
      </w:r>
      <w:r w:rsidRPr="000442FC">
        <w:t xml:space="preserve"> наркологические и психические. </w:t>
      </w:r>
      <w:r>
        <w:rPr>
          <w:lang w:val="en-US"/>
        </w:rPr>
        <w:t> </w:t>
      </w:r>
      <w:r w:rsidRPr="000442FC">
        <w:t xml:space="preserve">В отчетном году продолжилось </w:t>
      </w:r>
      <w:r>
        <w:rPr>
          <w:lang w:val="en-US"/>
        </w:rPr>
        <w:t> </w:t>
      </w:r>
      <w:r w:rsidRPr="000442FC">
        <w:t>укрепление материально-технической базы здравоохранения, закуплено новое оборудование</w:t>
      </w:r>
      <w:r>
        <w:rPr>
          <w:lang w:val="en-US"/>
        </w:rPr>
        <w:t> </w:t>
      </w:r>
      <w:r w:rsidRPr="000442FC">
        <w:t xml:space="preserve"> на 10,1 млн.руб. (флюорограф</w:t>
      </w:r>
      <w:r>
        <w:rPr>
          <w:lang w:val="en-US"/>
        </w:rPr>
        <w:t> </w:t>
      </w:r>
      <w:r w:rsidRPr="000442FC">
        <w:t xml:space="preserve"> цифровой). Проведен ремонт помещения под установку</w:t>
      </w:r>
      <w:r>
        <w:rPr>
          <w:lang w:val="en-US"/>
        </w:rPr>
        <w:t> </w:t>
      </w:r>
      <w:r w:rsidRPr="000442FC">
        <w:t xml:space="preserve"> флюорографа</w:t>
      </w:r>
      <w:r>
        <w:rPr>
          <w:lang w:val="en-US"/>
        </w:rPr>
        <w:t> </w:t>
      </w:r>
      <w:r w:rsidRPr="000442FC">
        <w:t xml:space="preserve"> и</w:t>
      </w:r>
      <w:r>
        <w:rPr>
          <w:lang w:val="en-US"/>
        </w:rPr>
        <w:t> </w:t>
      </w:r>
      <w:r w:rsidRPr="000442FC">
        <w:t xml:space="preserve"> капитальный ремонт ограждения территории ЦРБ – 14,2 млн.руб.Медицинскую помощь населению района в настоящее время оказывают 22 врача, 104 средних медицинских работников.</w:t>
      </w:r>
      <w:r>
        <w:rPr>
          <w:lang w:val="en-US"/>
        </w:rPr>
        <w:t>      </w:t>
      </w:r>
      <w:r w:rsidRPr="000442FC">
        <w:t>Социальная защита</w:t>
      </w:r>
      <w:r>
        <w:rPr>
          <w:lang w:val="en-US"/>
        </w:rPr>
        <w:t> </w:t>
      </w:r>
      <w:r w:rsidRPr="000442FC">
        <w:t xml:space="preserve"> населения строится в рамках адресного подхода. Это позволяет четко</w:t>
      </w:r>
      <w:r>
        <w:rPr>
          <w:lang w:val="en-US"/>
        </w:rPr>
        <w:t> </w:t>
      </w:r>
      <w:r w:rsidRPr="000442FC">
        <w:t xml:space="preserve"> определить стратегию действий, организовав пошаговую реализацию и достичь результата - оказание помощи</w:t>
      </w:r>
      <w:r>
        <w:rPr>
          <w:lang w:val="en-US"/>
        </w:rPr>
        <w:t> </w:t>
      </w:r>
      <w:r w:rsidRPr="000442FC">
        <w:t xml:space="preserve"> наименее защищенных категорий граждан.</w:t>
      </w:r>
      <w:r>
        <w:rPr>
          <w:lang w:val="en-US"/>
        </w:rPr>
        <w:t>  </w:t>
      </w:r>
      <w:r w:rsidRPr="000442FC">
        <w:t xml:space="preserve"> Управление социальной защиты населения</w:t>
      </w:r>
      <w:r>
        <w:rPr>
          <w:lang w:val="en-US"/>
        </w:rPr>
        <w:t> </w:t>
      </w:r>
      <w:r w:rsidRPr="000442FC">
        <w:t xml:space="preserve"> реализует федеральные и региональные меры поддержки. На начало текущего года на учете Управления социальной защиты населения по району состоит 3906 чел, что составляет 37% от</w:t>
      </w:r>
      <w:r>
        <w:rPr>
          <w:lang w:val="en-US"/>
        </w:rPr>
        <w:t> </w:t>
      </w:r>
      <w:r w:rsidRPr="000442FC">
        <w:t xml:space="preserve"> числа граждан, проживающих в районе. Жителям района доступны 94 социальные выплаты. Совокупные расходы на социальные выплаты и услуги для жителей района составили 82,8 млн. руб. </w:t>
      </w:r>
      <w:r>
        <w:rPr>
          <w:lang w:val="en-US"/>
        </w:rPr>
        <w:t> </w:t>
      </w:r>
      <w:r w:rsidRPr="000442FC">
        <w:t xml:space="preserve">Ощутимой мерой социальной поддержки для граждан являются ежемесячные компенсации и субсидии по оплате жилищно-коммунальных услуг. На эти цели направлено 23 млн. руб. На </w:t>
      </w:r>
      <w:r w:rsidRPr="000442FC">
        <w:lastRenderedPageBreak/>
        <w:t xml:space="preserve">постоянной основе оказывается поддержка участников ВОВ и «детям войны». Гражданам этих категорий предоставляются все полагающие меры поддержки, оказывается адресная помощь. </w:t>
      </w:r>
      <w:r>
        <w:rPr>
          <w:lang w:val="en-US"/>
        </w:rPr>
        <w:t> </w:t>
      </w:r>
      <w:r w:rsidRPr="000442FC">
        <w:t>Не менее</w:t>
      </w:r>
      <w:r>
        <w:rPr>
          <w:lang w:val="en-US"/>
        </w:rPr>
        <w:t> </w:t>
      </w:r>
      <w:r w:rsidRPr="000442FC">
        <w:t xml:space="preserve"> важным для нас является работа по улучшению качества жизни населения. Одним из действенных механизмов- это заключение социальных контрактов. Его цель- помочь нуждающимся гражданам перейти на самообеспечение. Этой возможностью воспользовались 160 человек заключив контракты на общую сумму</w:t>
      </w:r>
      <w:r>
        <w:rPr>
          <w:lang w:val="en-US"/>
        </w:rPr>
        <w:t> </w:t>
      </w:r>
      <w:r w:rsidRPr="000442FC">
        <w:t xml:space="preserve"> 7,7 млн. руб. Мы не забываем о наших пожилых людях 79 </w:t>
      </w:r>
      <w:r>
        <w:rPr>
          <w:lang w:val="en-US"/>
        </w:rPr>
        <w:t> </w:t>
      </w:r>
      <w:r w:rsidRPr="000442FC">
        <w:t xml:space="preserve">человек охвачено социальным обслуживанием на дому. </w:t>
      </w:r>
      <w:r>
        <w:rPr>
          <w:lang w:val="en-US"/>
        </w:rPr>
        <w:t>     </w:t>
      </w:r>
      <w:r w:rsidRPr="000442FC">
        <w:t xml:space="preserve"> </w:t>
      </w:r>
      <w:r>
        <w:rPr>
          <w:lang w:val="en-US"/>
        </w:rPr>
        <w:t> </w:t>
      </w:r>
      <w:r w:rsidRPr="000442FC">
        <w:t xml:space="preserve">Расширяются формы поддержки участников СВО и их семей. Работа ведется совместно </w:t>
      </w:r>
      <w:r>
        <w:rPr>
          <w:lang w:val="en-US"/>
        </w:rPr>
        <w:t> </w:t>
      </w:r>
      <w:r w:rsidRPr="000442FC">
        <w:t>с филиалом Государственного фонда «Защитники Отечества» по Алтайскому краю. Комплекс мероприятий по поддержке ветеранов, участников СВО и членов их семей включает 43 меры поддержки. Адресным сопровождением участников СВО и членов их семей занимаются кураторы и социальные координаторы. Они поддерживают постоянную связь и помогают решать трудные вопросы. В центре особого внимания- семьи погибших</w:t>
      </w:r>
      <w:r>
        <w:rPr>
          <w:lang w:val="en-US"/>
        </w:rPr>
        <w:t> </w:t>
      </w:r>
      <w:r w:rsidRPr="000442FC">
        <w:t xml:space="preserve"> и раненных. </w:t>
      </w:r>
      <w:r>
        <w:rPr>
          <w:lang w:val="en-US"/>
        </w:rPr>
        <w:t> </w:t>
      </w:r>
      <w:r w:rsidRPr="000442FC">
        <w:t>Увеличен размер выплаты в связи</w:t>
      </w:r>
      <w:r>
        <w:rPr>
          <w:lang w:val="en-US"/>
        </w:rPr>
        <w:t> </w:t>
      </w:r>
      <w:r w:rsidRPr="000442FC">
        <w:t xml:space="preserve"> заключением кон- тракта на военную службу до 800 тысяч рублей . С прошлого года ветераны могут воспользоваться полагающими льготами через карту СВОи- электронное удостоверение личности и статуса.</w:t>
      </w:r>
      <w:r>
        <w:rPr>
          <w:lang w:val="en-US"/>
        </w:rPr>
        <w:t>      </w:t>
      </w:r>
      <w:r w:rsidRPr="000442FC">
        <w:t xml:space="preserve"> </w:t>
      </w:r>
      <w:r>
        <w:rPr>
          <w:lang w:val="en-US"/>
        </w:rPr>
        <w:t> </w:t>
      </w:r>
      <w:r w:rsidRPr="000442FC">
        <w:t>С начала проведения СВО</w:t>
      </w:r>
      <w:r>
        <w:rPr>
          <w:lang w:val="en-US"/>
        </w:rPr>
        <w:t> </w:t>
      </w:r>
      <w:r w:rsidRPr="000442FC">
        <w:t xml:space="preserve"> в районе создан волонтерский</w:t>
      </w:r>
      <w:r>
        <w:rPr>
          <w:lang w:val="en-US"/>
        </w:rPr>
        <w:t> </w:t>
      </w:r>
      <w:r w:rsidRPr="000442FC">
        <w:t xml:space="preserve"> отряд «Нити добра». Среди основных направлений работы волонтерского отряда можно выделить следующее:</w:t>
      </w:r>
      <w:r>
        <w:rPr>
          <w:lang w:val="en-US"/>
        </w:rPr>
        <w:t>         </w:t>
      </w:r>
      <w:r w:rsidRPr="000442FC">
        <w:t xml:space="preserve"> сбор денежных средств, сбор гуманитарной помощи от жителей района для передачи бойцам в зону СВО, работа с госпиталями. </w:t>
      </w:r>
      <w:r>
        <w:rPr>
          <w:lang w:val="en-US"/>
        </w:rPr>
        <w:t>  </w:t>
      </w:r>
      <w:r w:rsidRPr="000442FC">
        <w:t>Волонтерами и неравнодушными гражданами района, руководителями предприятий, организациями собирается гуманитарная благотворительная помощь. На передовую, в госпитали отправляются продукты питания, печи обогрева, маскировочные сети, окопные свечи, медикаменты,</w:t>
      </w:r>
      <w:r>
        <w:rPr>
          <w:lang w:val="en-US"/>
        </w:rPr>
        <w:t> </w:t>
      </w:r>
      <w:r w:rsidRPr="000442FC">
        <w:t xml:space="preserve"> многое другое. За 2024 год</w:t>
      </w:r>
      <w:r>
        <w:rPr>
          <w:lang w:val="en-US"/>
        </w:rPr>
        <w:t> </w:t>
      </w:r>
      <w:r w:rsidRPr="000442FC">
        <w:t xml:space="preserve"> проведено 30 сборов по заявкам бойцов от СВО и отправлено тонны гуманитарного груза,</w:t>
      </w:r>
      <w:r>
        <w:rPr>
          <w:lang w:val="en-US"/>
        </w:rPr>
        <w:t> </w:t>
      </w:r>
      <w:r w:rsidRPr="000442FC">
        <w:t xml:space="preserve"> собрано 6,8 млн. рублей. </w:t>
      </w:r>
      <w:r>
        <w:rPr>
          <w:lang w:val="en-US"/>
        </w:rPr>
        <w:t>  </w:t>
      </w:r>
      <w:r w:rsidRPr="000442FC">
        <w:t>Всего с создания волонтерского отряда собрано 11,6 млн. руб.</w:t>
      </w:r>
      <w:r>
        <w:rPr>
          <w:lang w:val="en-US"/>
        </w:rPr>
        <w:t>      </w:t>
      </w:r>
      <w:r w:rsidRPr="000442FC">
        <w:t xml:space="preserve">В 2024 году культура района работала под девизом «Искусство быть вместе: семья, традиции, культура, будущее». Учреждениями культуры проведено 2149 мероприятий, из них платных - 747. Основными направлениями работы стали: возрождение и сохранение традиционной народной культуры, организация праздничных мероприятий и семейного досуга, работа с различными возрастными категориями населения, патриотическое направление. Приоритетным направлением 2024 года стала поддержка традиций семейного воспитания, сохранение, развитие и распространение основ культуры. </w:t>
      </w:r>
      <w:r>
        <w:rPr>
          <w:lang w:val="en-US"/>
        </w:rPr>
        <w:t> </w:t>
      </w:r>
      <w:r w:rsidRPr="000442FC">
        <w:t xml:space="preserve">Работники культуры </w:t>
      </w:r>
      <w:r>
        <w:rPr>
          <w:lang w:val="en-US"/>
        </w:rPr>
        <w:t> </w:t>
      </w:r>
      <w:r w:rsidRPr="000442FC">
        <w:t xml:space="preserve">проводили важные культурные акции, прежде всего, посвященные Году семьи.Всего учреждениями культуры района для семей проведено более 80-и мероприятий. В числе наиболее значимых мероприятий, посвящённых Году семьи в России, выделим праздничный концерт творческих семей района к Международному дню Семьи «Секрет семейного пирога», концерты, в рамках </w:t>
      </w:r>
      <w:r>
        <w:rPr>
          <w:lang w:val="en-US"/>
        </w:rPr>
        <w:t>VIII</w:t>
      </w:r>
      <w:r w:rsidRPr="000442FC">
        <w:t xml:space="preserve"> районного фестиваля народного творчества «Я люблю тебя, жизнь!», концертную программу «Мы – вместе, мы – одна семья!». На все торжественные семейные мероприятия, которые проходили в районе, приглашались родители бойцов СВО, многодетные семьи и семьи, в которых воспитываются приемные дети. Родителям, наиболее отличившимся в деле воспитания детей, вручали благодарственные письма главы района, подарки и букеты цветов. Проведение подобных мероприятий, несомненно, послужило повышению роли семьи в </w:t>
      </w:r>
      <w:r w:rsidRPr="000442FC">
        <w:lastRenderedPageBreak/>
        <w:t>обществе.Семейные творческие коллективы, любительские объединения и семейные династии работников культуры Усть-Калманского района стали участниками краевых мероприятий: фестиваля семейного творчества «Всей семьёй на сцену!», концерта-презентации «Неугасим огонь души!», регионального фестиваля-конкурса «Радуга семейных талантов».Среди новых мероприятий стоит выделить те, которые прошли с участием детей в рамках Всероссийского единого дня фольклора «Единство наций - сила Алтая», акцию «Ходим в русском», детскую мини-спартакиаду в рамках спортивного межрайонного Кубка «Предгорья Алтая» (с.Новокалманка),научный квест «Науки разные нужны» (с. Кабаново». Второй год районный дом культуры с успехом проводит «губернаторскую елку» для учащихся начальных классов всего Усть-Калманского района.</w:t>
      </w:r>
      <w:r>
        <w:rPr>
          <w:lang w:val="en-US"/>
        </w:rPr>
        <w:t>  </w:t>
      </w:r>
      <w:r w:rsidRPr="000442FC">
        <w:t xml:space="preserve">В отчетном году в Усть-Калманке прошел межрайонный праздник «В платке цветном вся русская душа». Гостями масштабного мероприятия стали более пятисот человек. Сберегая народные традиции, наши артисты и волонтёры устроили большой красивый праздник русского платка. Больше ста артистов из пяти районов вышли на сцену районного Дома культуры.По итогам творческого года коллективы района завоевали на краевых и Всероссийских фестивалях и конкурсах более тридцати наград самого разного уровня. Среди самых высоких отметим: Гран-при Международного конкурса для людей с ограниченными возможностями «Жар-Птица России» (солистка Анастасия Осинцева), Диплом Лауреата музыкального фестиваля эстрадных, джазовых коллективов и рок-групп "Под звездным небом Колывани" (духовой оркестр), Диплом Лауреата Всероссийского фестиваляим. М Евдокимова «Земляки» (ансамбль ложкарей «Забава» Кабановского СДК), Диплом Лауреата </w:t>
      </w:r>
      <w:r>
        <w:rPr>
          <w:lang w:val="en-US"/>
        </w:rPr>
        <w:t>III</w:t>
      </w:r>
      <w:r w:rsidRPr="000442FC">
        <w:t xml:space="preserve"> степени </w:t>
      </w:r>
      <w:r>
        <w:rPr>
          <w:lang w:val="en-US"/>
        </w:rPr>
        <w:t>II</w:t>
      </w:r>
      <w:r w:rsidRPr="000442FC">
        <w:t xml:space="preserve"> Всероссийского фестиваля «Душа Баяна» (по Сибирскому федеральному округу) (вок.анс. «Вдохновение»).Артисты района выезжали большими творческими делегациями на гастроли в Краснощековский, Курьинский, Мамонтовский, Петропавловский, Чарышский и Шипуновский районы, города Бийск, Барнаул и Новоалтайск.</w:t>
      </w:r>
      <w:r>
        <w:rPr>
          <w:lang w:val="en-US"/>
        </w:rPr>
        <w:t>  </w:t>
      </w:r>
      <w:r w:rsidRPr="000442FC">
        <w:t xml:space="preserve"> </w:t>
      </w:r>
      <w:r>
        <w:rPr>
          <w:lang w:val="en-US"/>
        </w:rPr>
        <w:t> </w:t>
      </w:r>
      <w:r w:rsidRPr="000442FC">
        <w:t xml:space="preserve">В 2024 году проведено 47 спортивно-массовых мероприятий из них 12 межрайонных. </w:t>
      </w:r>
      <w:r>
        <w:rPr>
          <w:lang w:val="en-US"/>
        </w:rPr>
        <w:t> </w:t>
      </w:r>
      <w:r w:rsidRPr="000442FC">
        <w:t xml:space="preserve">Проведена </w:t>
      </w:r>
      <w:r>
        <w:rPr>
          <w:lang w:val="en-US"/>
        </w:rPr>
        <w:t>XI</w:t>
      </w:r>
      <w:r w:rsidRPr="000442FC">
        <w:t xml:space="preserve"> зимняя Олимпиада спортсменов района, в ней участвовало 156 спортсменов и </w:t>
      </w:r>
      <w:r>
        <w:rPr>
          <w:lang w:val="en-US"/>
        </w:rPr>
        <w:t> </w:t>
      </w:r>
      <w:r w:rsidRPr="000442FC">
        <w:t xml:space="preserve">41 летняя Олимпиада - 237 участников. </w:t>
      </w:r>
      <w:r>
        <w:rPr>
          <w:lang w:val="en-US"/>
        </w:rPr>
        <w:t> </w:t>
      </w:r>
      <w:r w:rsidRPr="000442FC">
        <w:t>Олимпиада проводится в несколько этапов: хоккей, футбол, спортивные семьи, полиатлон и лыжные гонки. В финале летней олимпиады</w:t>
      </w:r>
      <w:r>
        <w:rPr>
          <w:lang w:val="en-US"/>
        </w:rPr>
        <w:t> </w:t>
      </w:r>
      <w:r w:rsidRPr="000442FC">
        <w:t xml:space="preserve"> сельских спортсменов</w:t>
      </w:r>
      <w:r>
        <w:rPr>
          <w:lang w:val="en-US"/>
        </w:rPr>
        <w:t> </w:t>
      </w:r>
      <w:r w:rsidRPr="000442FC">
        <w:t xml:space="preserve"> Алтайского края 2024 года в женской эстафете наши легкоатлетки показали хороший результат и заняли 3 место. Районный</w:t>
      </w:r>
      <w:r>
        <w:rPr>
          <w:lang w:val="en-US"/>
        </w:rPr>
        <w:t> </w:t>
      </w:r>
      <w:r w:rsidRPr="000442FC">
        <w:t xml:space="preserve"> турнир по настольному теннису</w:t>
      </w:r>
      <w:r>
        <w:rPr>
          <w:lang w:val="en-US"/>
        </w:rPr>
        <w:t> </w:t>
      </w:r>
      <w:r w:rsidRPr="000442FC">
        <w:t xml:space="preserve"> в прошедшем году провели дважды. Стало традицией ежегодно проводить состязания по биатлону на кубок «Предгорья Алтая». Среди школ прошли районные соревнования по стритболу, Всероссийские спортивные соревнования «Президентские состязания»,-эстафета, многоборье. </w:t>
      </w:r>
      <w:r>
        <w:rPr>
          <w:lang w:val="en-US"/>
        </w:rPr>
        <w:t> </w:t>
      </w:r>
      <w:r w:rsidRPr="000442FC">
        <w:t>Тему развития массового спорта продолжает комплекс ГТО. За отчетный период</w:t>
      </w:r>
      <w:r>
        <w:rPr>
          <w:lang w:val="en-US"/>
        </w:rPr>
        <w:t> </w:t>
      </w:r>
      <w:r w:rsidRPr="000442FC">
        <w:t xml:space="preserve"> 11 жителей получили знаки отличия.</w:t>
      </w:r>
      <w:r>
        <w:rPr>
          <w:lang w:val="en-US"/>
        </w:rPr>
        <w:t>    </w:t>
      </w:r>
      <w:r w:rsidRPr="000442FC">
        <w:t xml:space="preserve">В 2024 году </w:t>
      </w:r>
      <w:r>
        <w:rPr>
          <w:lang w:val="en-US"/>
        </w:rPr>
        <w:t> </w:t>
      </w:r>
      <w:r w:rsidRPr="000442FC">
        <w:t xml:space="preserve">по </w:t>
      </w:r>
      <w:r>
        <w:rPr>
          <w:lang w:val="en-US"/>
        </w:rPr>
        <w:t> </w:t>
      </w:r>
      <w:r w:rsidRPr="000442FC">
        <w:t xml:space="preserve">муниципальной программе «Развитие физической культуры и спорта Усть-Калманского района на 2021-2024 годы» на нужды спорта </w:t>
      </w:r>
      <w:r>
        <w:rPr>
          <w:lang w:val="en-US"/>
        </w:rPr>
        <w:t> </w:t>
      </w:r>
      <w:r w:rsidRPr="000442FC">
        <w:t xml:space="preserve">и </w:t>
      </w:r>
      <w:r>
        <w:rPr>
          <w:lang w:val="en-US"/>
        </w:rPr>
        <w:t> </w:t>
      </w:r>
      <w:r w:rsidRPr="000442FC">
        <w:t xml:space="preserve">инвентарь </w:t>
      </w:r>
      <w:r>
        <w:rPr>
          <w:lang w:val="en-US"/>
        </w:rPr>
        <w:t> </w:t>
      </w:r>
      <w:r w:rsidRPr="000442FC">
        <w:t xml:space="preserve">было израсходовано 3,1 </w:t>
      </w:r>
      <w:r>
        <w:rPr>
          <w:lang w:val="en-US"/>
        </w:rPr>
        <w:t> </w:t>
      </w:r>
      <w:r w:rsidRPr="000442FC">
        <w:t>млн.руб.</w:t>
      </w:r>
    </w:p>
    <w:p w:rsidR="0074511A" w:rsidRDefault="0074511A">
      <w:pPr>
        <w:spacing w:after="240" w:line="276" w:lineRule="auto"/>
        <w:divId w:val="1537622445"/>
      </w:pPr>
      <w:r>
        <w:br/>
      </w:r>
    </w:p>
    <w:tbl>
      <w:tblPr>
        <w:tblW w:w="0" w:type="auto"/>
        <w:jc w:val="right"/>
        <w:tblCellSpacing w:w="15" w:type="dxa"/>
        <w:tblCellMar>
          <w:top w:w="15" w:type="dxa"/>
          <w:left w:w="15" w:type="dxa"/>
          <w:bottom w:w="15" w:type="dxa"/>
          <w:right w:w="15" w:type="dxa"/>
        </w:tblCellMar>
        <w:tblLook w:val="04A0"/>
      </w:tblPr>
      <w:tblGrid>
        <w:gridCol w:w="758"/>
        <w:gridCol w:w="1260"/>
        <w:gridCol w:w="3337"/>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Наумов Виктор Федорович</w:t>
            </w:r>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lastRenderedPageBreak/>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1E2" w:rsidRDefault="00E621E2" w:rsidP="00D47142">
      <w:r>
        <w:separator/>
      </w:r>
    </w:p>
  </w:endnote>
  <w:endnote w:type="continuationSeparator" w:id="1">
    <w:p w:rsidR="00E621E2" w:rsidRDefault="00E621E2"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535447" w:rsidP="00D47142">
    <w:pPr>
      <w:pStyle w:val="a6"/>
      <w:jc w:val="right"/>
    </w:pPr>
    <w:r>
      <w:fldChar w:fldCharType="begin"/>
    </w:r>
    <w:r w:rsidR="00D47142">
      <w:instrText xml:space="preserve"> PAGE  \* MERGEFORMAT </w:instrText>
    </w:r>
    <w:r>
      <w:fldChar w:fldCharType="separate"/>
    </w:r>
    <w:r w:rsidR="00084350">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1E2" w:rsidRDefault="00E621E2" w:rsidP="00D47142">
      <w:r>
        <w:separator/>
      </w:r>
    </w:p>
  </w:footnote>
  <w:footnote w:type="continuationSeparator" w:id="1">
    <w:p w:rsidR="00E621E2" w:rsidRDefault="00E621E2"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7142"/>
    <w:rsid w:val="000442FC"/>
    <w:rsid w:val="00084350"/>
    <w:rsid w:val="000D3D3D"/>
    <w:rsid w:val="0015389F"/>
    <w:rsid w:val="001F1010"/>
    <w:rsid w:val="00467A05"/>
    <w:rsid w:val="00535447"/>
    <w:rsid w:val="00564A2F"/>
    <w:rsid w:val="005A1D93"/>
    <w:rsid w:val="00705BA6"/>
    <w:rsid w:val="0074511A"/>
    <w:rsid w:val="008E0719"/>
    <w:rsid w:val="00954C8F"/>
    <w:rsid w:val="009972F0"/>
    <w:rsid w:val="00C97D56"/>
    <w:rsid w:val="00D47142"/>
    <w:rsid w:val="00E621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535447"/>
    <w:pPr>
      <w:spacing w:before="100" w:beforeAutospacing="1" w:after="100" w:afterAutospacing="1"/>
    </w:pPr>
  </w:style>
  <w:style w:type="character" w:styleId="a3">
    <w:name w:val="Strong"/>
    <w:basedOn w:val="a0"/>
    <w:uiPriority w:val="22"/>
    <w:qFormat/>
    <w:rsid w:val="00535447"/>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SvetlichnajaEV</cp:lastModifiedBy>
  <cp:revision>8</cp:revision>
  <cp:lastPrinted>2025-04-22T07:23:00Z</cp:lastPrinted>
  <dcterms:created xsi:type="dcterms:W3CDTF">2022-03-29T02:16:00Z</dcterms:created>
  <dcterms:modified xsi:type="dcterms:W3CDTF">2025-04-22T07:26:00Z</dcterms:modified>
</cp:coreProperties>
</file>